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75" w:rsidRDefault="004D6D75" w:rsidP="004D6D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A2F7E" w:rsidRDefault="007A2F7E" w:rsidP="004D6D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7A2F7E" w:rsidRPr="007B26AF" w:rsidRDefault="007A2F7E" w:rsidP="007A2F7E">
      <w:pPr>
        <w:autoSpaceDE w:val="0"/>
        <w:autoSpaceDN w:val="0"/>
        <w:adjustRightInd w:val="0"/>
        <w:spacing w:after="0"/>
        <w:ind w:left="7787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B26AF">
        <w:rPr>
          <w:rFonts w:ascii="Times New Roman" w:hAnsi="Times New Roman" w:cs="Times New Roman"/>
          <w:sz w:val="21"/>
          <w:szCs w:val="21"/>
        </w:rPr>
        <w:t>Приложение №1</w:t>
      </w:r>
    </w:p>
    <w:p w:rsidR="007A2F7E" w:rsidRPr="007B26AF" w:rsidRDefault="007A2F7E" w:rsidP="007A2F7E">
      <w:pPr>
        <w:autoSpaceDE w:val="0"/>
        <w:autoSpaceDN w:val="0"/>
        <w:adjustRightInd w:val="0"/>
        <w:spacing w:after="0"/>
        <w:ind w:left="6804" w:hanging="416"/>
        <w:jc w:val="both"/>
        <w:rPr>
          <w:rFonts w:ascii="Times New Roman" w:hAnsi="Times New Roman" w:cs="Times New Roman"/>
          <w:sz w:val="21"/>
          <w:szCs w:val="21"/>
        </w:rPr>
      </w:pPr>
      <w:r w:rsidRPr="007B26AF">
        <w:rPr>
          <w:rFonts w:ascii="Times New Roman" w:hAnsi="Times New Roman" w:cs="Times New Roman"/>
          <w:sz w:val="21"/>
          <w:szCs w:val="21"/>
        </w:rPr>
        <w:tab/>
        <w:t>к административному регламенту</w:t>
      </w:r>
    </w:p>
    <w:p w:rsidR="007A2F7E" w:rsidRPr="007B26AF" w:rsidRDefault="007A2F7E" w:rsidP="007A2F7E">
      <w:pPr>
        <w:autoSpaceDE w:val="0"/>
        <w:autoSpaceDN w:val="0"/>
        <w:adjustRightInd w:val="0"/>
        <w:spacing w:after="0"/>
        <w:ind w:left="6804" w:hanging="416"/>
        <w:jc w:val="both"/>
        <w:rPr>
          <w:rFonts w:ascii="Times New Roman" w:hAnsi="Times New Roman" w:cs="Times New Roman"/>
          <w:sz w:val="21"/>
          <w:szCs w:val="21"/>
        </w:rPr>
      </w:pPr>
      <w:r w:rsidRPr="007B26AF">
        <w:rPr>
          <w:rFonts w:ascii="Times New Roman" w:hAnsi="Times New Roman" w:cs="Times New Roman"/>
          <w:sz w:val="21"/>
          <w:szCs w:val="21"/>
        </w:rPr>
        <w:t>предоставления государственной услуги «Выдача органом опеки и попечительства предварительного разрешения на совершение сделок по отчуждению жилых помещений с участием несовершеннолетних» приказ от  25.11.2021 №3334</w:t>
      </w:r>
    </w:p>
    <w:p w:rsidR="007A2F7E" w:rsidRPr="007B26AF" w:rsidRDefault="007A2F7E" w:rsidP="004D6D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7B26AF">
        <w:rPr>
          <w:rFonts w:ascii="Times New Roman" w:hAnsi="Times New Roman" w:cs="Times New Roman"/>
          <w:sz w:val="21"/>
          <w:szCs w:val="21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 №обязательными для предоставления государственной  услуги</w:t>
      </w:r>
    </w:p>
    <w:p w:rsidR="007A2F7E" w:rsidRPr="007B26AF" w:rsidRDefault="007A2F7E" w:rsidP="007A2F7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142" w:firstLine="0"/>
        <w:jc w:val="both"/>
        <w:rPr>
          <w:rFonts w:ascii="Times New Roman" w:hAnsi="Times New Roman" w:cs="Times New Roman"/>
          <w:sz w:val="21"/>
          <w:szCs w:val="21"/>
        </w:rPr>
      </w:pPr>
      <w:r w:rsidRPr="007B26AF">
        <w:rPr>
          <w:rFonts w:ascii="Times New Roman" w:hAnsi="Times New Roman" w:cs="Times New Roman"/>
          <w:sz w:val="21"/>
          <w:szCs w:val="21"/>
        </w:rPr>
        <w:t>Документ, удостоверяющий личность гражданина;</w:t>
      </w:r>
    </w:p>
    <w:p w:rsidR="007A2F7E" w:rsidRPr="00BA64A8" w:rsidRDefault="007A2F7E" w:rsidP="007B26A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A64A8">
        <w:rPr>
          <w:rFonts w:ascii="Times New Roman" w:hAnsi="Times New Roman" w:cs="Times New Roman"/>
          <w:b/>
          <w:sz w:val="21"/>
          <w:szCs w:val="21"/>
        </w:rPr>
        <w:t>Паспорт заявителя, а в случаях, предусмотренных законодательством Российской Федерации, иной документ, удостоверяющий его личность,</w:t>
      </w:r>
    </w:p>
    <w:p w:rsidR="007A2F7E" w:rsidRPr="00BA64A8" w:rsidRDefault="007A2F7E" w:rsidP="007B26A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A64A8">
        <w:rPr>
          <w:rFonts w:ascii="Times New Roman" w:hAnsi="Times New Roman" w:cs="Times New Roman"/>
          <w:b/>
          <w:sz w:val="21"/>
          <w:szCs w:val="21"/>
        </w:rPr>
        <w:t xml:space="preserve"> Свидетельство о рождении (для несовершеннолетнего в возрасте от 0 до 18 лет)</w:t>
      </w:r>
      <w:r w:rsidR="007B26AF" w:rsidRPr="00BA64A8">
        <w:rPr>
          <w:rFonts w:ascii="Times New Roman" w:hAnsi="Times New Roman" w:cs="Times New Roman"/>
          <w:b/>
          <w:sz w:val="21"/>
          <w:szCs w:val="21"/>
        </w:rPr>
        <w:t>.</w:t>
      </w:r>
    </w:p>
    <w:p w:rsidR="007B26AF" w:rsidRPr="007B26AF" w:rsidRDefault="007B26AF" w:rsidP="007B26A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7B26AF">
        <w:rPr>
          <w:rFonts w:ascii="Times New Roman" w:hAnsi="Times New Roman" w:cs="Times New Roman"/>
          <w:sz w:val="21"/>
          <w:szCs w:val="21"/>
        </w:rPr>
        <w:t>Заявление о выдаче предварительного разрешения на совершение сделок по отчуждению жилых помещений с участием несовершеннолетних:</w:t>
      </w:r>
    </w:p>
    <w:p w:rsidR="007B26AF" w:rsidRPr="007B26AF" w:rsidRDefault="007B26AF" w:rsidP="007B26AF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7B26AF">
        <w:rPr>
          <w:rFonts w:ascii="Times New Roman" w:hAnsi="Times New Roman" w:cs="Times New Roman"/>
          <w:sz w:val="21"/>
          <w:szCs w:val="21"/>
        </w:rPr>
        <w:t>- для заявителей, указанных в подпунктах 1.2.1 пункта 1.2 настоящего административного регламента по форме №1 приложения№1;</w:t>
      </w:r>
    </w:p>
    <w:p w:rsidR="007B26AF" w:rsidRPr="007B26AF" w:rsidRDefault="007B26AF" w:rsidP="007B26AF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7B26AF">
        <w:rPr>
          <w:rFonts w:ascii="Times New Roman" w:hAnsi="Times New Roman" w:cs="Times New Roman"/>
          <w:sz w:val="21"/>
          <w:szCs w:val="21"/>
        </w:rPr>
        <w:t>- для заявителей, указанных в подпункте 1.2.2 пункта 1.2 настоящего административного регламента по форме №2 приложения№1;</w:t>
      </w:r>
    </w:p>
    <w:p w:rsidR="007B26AF" w:rsidRPr="007B26AF" w:rsidRDefault="007B26AF" w:rsidP="007B26AF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7B26AF">
        <w:rPr>
          <w:rFonts w:ascii="Times New Roman" w:hAnsi="Times New Roman" w:cs="Times New Roman"/>
          <w:sz w:val="21"/>
          <w:szCs w:val="21"/>
        </w:rPr>
        <w:t>- для заявителей, указанных в подпункте 1.2.3 пункта 1.2 настоящего административного регламента по форме №3 приложения №1.</w:t>
      </w:r>
    </w:p>
    <w:p w:rsidR="007B26AF" w:rsidRPr="007B26AF" w:rsidRDefault="007B26AF" w:rsidP="007B26AF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7B26AF">
        <w:rPr>
          <w:rFonts w:ascii="Times New Roman" w:hAnsi="Times New Roman" w:cs="Times New Roman"/>
          <w:sz w:val="21"/>
          <w:szCs w:val="21"/>
        </w:rPr>
        <w:tab/>
        <w:t xml:space="preserve">Заявление может быть заполнено от руки или машинописным способом, распечатано посредством электронных печатающих устройств. </w:t>
      </w:r>
      <w:r w:rsidRPr="00BA64A8">
        <w:rPr>
          <w:rFonts w:ascii="Times New Roman" w:hAnsi="Times New Roman" w:cs="Times New Roman"/>
          <w:b/>
          <w:sz w:val="21"/>
          <w:szCs w:val="21"/>
          <w:u w:val="single"/>
        </w:rPr>
        <w:t>Заявление оформляется гражданином лично при сдаче документов в органе опеки и попечительства.</w:t>
      </w:r>
      <w:r w:rsidRPr="007B26AF">
        <w:rPr>
          <w:rFonts w:ascii="Times New Roman" w:hAnsi="Times New Roman" w:cs="Times New Roman"/>
          <w:sz w:val="21"/>
          <w:szCs w:val="21"/>
        </w:rPr>
        <w:t xml:space="preserve"> Заявление формируется в единственном экземпляре – подлиннике и подписывается лично гражданином. </w:t>
      </w:r>
    </w:p>
    <w:p w:rsidR="007B26AF" w:rsidRDefault="007B26AF" w:rsidP="007B26AF">
      <w:pPr>
        <w:pStyle w:val="a6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7B26AF">
        <w:rPr>
          <w:rFonts w:ascii="Times New Roman" w:hAnsi="Times New Roman" w:cs="Times New Roman"/>
          <w:sz w:val="21"/>
          <w:szCs w:val="21"/>
        </w:rPr>
        <w:tab/>
        <w:t>При назначении в отношении несовершеннолетнего нескольких опекунов или попечителей</w:t>
      </w:r>
      <w:r>
        <w:rPr>
          <w:rFonts w:ascii="Times New Roman" w:hAnsi="Times New Roman" w:cs="Times New Roman"/>
          <w:sz w:val="21"/>
          <w:szCs w:val="21"/>
        </w:rPr>
        <w:t xml:space="preserve"> представительство прав и законных интересов подопечного гражданина при обращении за разрешением на совершение сделки по отчуждению жилых помещений осуществляется одновременно всеми опекунами (попечителями) либо одним из них при наличии нотариально удостоверенного</w:t>
      </w:r>
      <w:r w:rsidR="00CF51AD">
        <w:rPr>
          <w:rFonts w:ascii="Times New Roman" w:hAnsi="Times New Roman" w:cs="Times New Roman"/>
          <w:sz w:val="21"/>
          <w:szCs w:val="21"/>
        </w:rPr>
        <w:t xml:space="preserve"> согласия от остальных опекунов (попечителей).</w:t>
      </w:r>
    </w:p>
    <w:p w:rsidR="00CF51AD" w:rsidRPr="00187435" w:rsidRDefault="00CF51AD" w:rsidP="00CF51AD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1"/>
          <w:szCs w:val="21"/>
        </w:rPr>
      </w:pPr>
      <w:r w:rsidRPr="00187435">
        <w:rPr>
          <w:rFonts w:ascii="Times New Roman" w:hAnsi="Times New Roman" w:cs="Times New Roman"/>
          <w:sz w:val="21"/>
          <w:szCs w:val="21"/>
        </w:rPr>
        <w:t>Письменное согласие законного представителя на совершение сделки по отчуждению жилого помещения несовершеннолетнего (представляется при совершении сделок несовершеннолетним в возрасте от 14 до 18 лет), по форме №4 приложения №1.</w:t>
      </w:r>
    </w:p>
    <w:p w:rsidR="00CF51AD" w:rsidRPr="00187435" w:rsidRDefault="00CF51AD" w:rsidP="00CF51AD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87435">
        <w:rPr>
          <w:rFonts w:ascii="Times New Roman" w:hAnsi="Times New Roman" w:cs="Times New Roman"/>
          <w:b/>
          <w:sz w:val="21"/>
          <w:szCs w:val="21"/>
        </w:rPr>
        <w:t>В зависимости от вида сделки представляющим следующие документы при наличии, в установленных случаях при соответствующей жизненной ситуации.</w:t>
      </w:r>
    </w:p>
    <w:p w:rsidR="00CF51AD" w:rsidRDefault="00CF51AD" w:rsidP="00DC432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Документ, подтверждающий у несовершеннолетнего единственного законного представителя</w:t>
      </w:r>
      <w:r w:rsidR="00DC432F">
        <w:rPr>
          <w:rFonts w:ascii="Times New Roman" w:hAnsi="Times New Roman" w:cs="Times New Roman"/>
          <w:sz w:val="21"/>
          <w:szCs w:val="21"/>
        </w:rPr>
        <w:t>:</w:t>
      </w:r>
    </w:p>
    <w:p w:rsidR="00DC432F" w:rsidRDefault="00DC432F" w:rsidP="00DC432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Свидетельство о смерти другого законного представителя (при наличии);</w:t>
      </w:r>
    </w:p>
    <w:p w:rsidR="00DC432F" w:rsidRDefault="00DC432F" w:rsidP="00DC432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Решение суда о признании другого законного представителя безвестно отсутствующим (при наличии);</w:t>
      </w:r>
    </w:p>
    <w:p w:rsidR="00DC432F" w:rsidRDefault="00DC432F" w:rsidP="00DC432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Решение суда об объявлении другого законного представителя умершим (при наличии);</w:t>
      </w:r>
    </w:p>
    <w:p w:rsidR="00DC432F" w:rsidRDefault="00DC432F" w:rsidP="00DC432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Решении суда о лишении или ограничении одного из законных представителей родительских прав (при наличии);</w:t>
      </w:r>
    </w:p>
    <w:p w:rsidR="00DC432F" w:rsidRDefault="00DC432F" w:rsidP="00DC432F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Справка органов внутренних дел о розыске одного из законных представителей, выданная не позднее 2-х месяцев назад (при наличии).</w:t>
      </w:r>
    </w:p>
    <w:p w:rsidR="00DC432F" w:rsidRPr="00BA64A8" w:rsidRDefault="00DC432F" w:rsidP="00DC432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A64A8">
        <w:rPr>
          <w:rFonts w:ascii="Times New Roman" w:hAnsi="Times New Roman" w:cs="Times New Roman"/>
          <w:b/>
          <w:sz w:val="21"/>
          <w:szCs w:val="21"/>
        </w:rPr>
        <w:t xml:space="preserve">Правоустанавливающие документы </w:t>
      </w:r>
      <w:r w:rsidRPr="00187435">
        <w:rPr>
          <w:rFonts w:ascii="Times New Roman" w:hAnsi="Times New Roman" w:cs="Times New Roman"/>
          <w:b/>
          <w:sz w:val="21"/>
          <w:szCs w:val="21"/>
          <w:u w:val="single"/>
        </w:rPr>
        <w:t>на отчуждаемое и приобретаемое жилое помещение</w:t>
      </w:r>
      <w:r w:rsidR="00187435">
        <w:rPr>
          <w:rFonts w:ascii="Times New Roman" w:hAnsi="Times New Roman" w:cs="Times New Roman"/>
          <w:b/>
          <w:sz w:val="21"/>
          <w:szCs w:val="21"/>
          <w:u w:val="single"/>
        </w:rPr>
        <w:t xml:space="preserve"> и земельный участок (при наличии)</w:t>
      </w:r>
      <w:r w:rsidRPr="00BA64A8">
        <w:rPr>
          <w:rFonts w:ascii="Times New Roman" w:hAnsi="Times New Roman" w:cs="Times New Roman"/>
          <w:b/>
          <w:sz w:val="21"/>
          <w:szCs w:val="21"/>
        </w:rPr>
        <w:t>: договор приватизации, купли-продажи, мены, дарения, свидетельство о праве на наследство, договор о долевом участии в строительстве жилья, договор аренды земельного участка и свидетельство о праве собственности на землю – пр сделке с жилым домом.</w:t>
      </w:r>
    </w:p>
    <w:p w:rsidR="00DC432F" w:rsidRPr="00BA64A8" w:rsidRDefault="00DC432F" w:rsidP="00DC432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A64A8">
        <w:rPr>
          <w:rFonts w:ascii="Times New Roman" w:hAnsi="Times New Roman" w:cs="Times New Roman"/>
          <w:b/>
          <w:sz w:val="21"/>
          <w:szCs w:val="21"/>
        </w:rPr>
        <w:t>Документы на право собственности на отчуждаемое и приобретаемое имущество.</w:t>
      </w:r>
    </w:p>
    <w:p w:rsidR="00DC432F" w:rsidRPr="00BA64A8" w:rsidRDefault="00DC432F" w:rsidP="00DC432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A64A8">
        <w:rPr>
          <w:rFonts w:ascii="Times New Roman" w:hAnsi="Times New Roman" w:cs="Times New Roman"/>
          <w:b/>
          <w:sz w:val="21"/>
          <w:szCs w:val="21"/>
        </w:rPr>
        <w:t>Документы, подтверждающие кадастровую стоимость отчуждаемого и приобретаемого имущества (один из документов на выбор заявителя):</w:t>
      </w:r>
    </w:p>
    <w:p w:rsidR="00DC432F" w:rsidRDefault="00DC432F" w:rsidP="005F0C5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Выписка из единого государственного реестра недвижимости (далее ЕГРН)</w:t>
      </w:r>
    </w:p>
    <w:p w:rsidR="00DC432F" w:rsidRDefault="00DC432F" w:rsidP="005F0C5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Кадастровый паспорт</w:t>
      </w:r>
    </w:p>
    <w:p w:rsidR="00DC432F" w:rsidRDefault="00DC432F" w:rsidP="005F0C5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Кадастровая выписка.</w:t>
      </w:r>
    </w:p>
    <w:p w:rsidR="00DC432F" w:rsidRPr="00BA64A8" w:rsidRDefault="00DC432F" w:rsidP="005F0C5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A64A8">
        <w:rPr>
          <w:rFonts w:ascii="Times New Roman" w:hAnsi="Times New Roman" w:cs="Times New Roman"/>
          <w:b/>
          <w:sz w:val="21"/>
          <w:szCs w:val="21"/>
        </w:rPr>
        <w:lastRenderedPageBreak/>
        <w:t xml:space="preserve">Документы, подтверждающие техническое состояние с указанием процента износа и стоимость (приобретаемого) </w:t>
      </w:r>
      <w:r w:rsidRPr="00BA64A8">
        <w:rPr>
          <w:rFonts w:ascii="Times New Roman" w:hAnsi="Times New Roman" w:cs="Times New Roman"/>
          <w:b/>
          <w:sz w:val="21"/>
          <w:szCs w:val="21"/>
          <w:u w:val="single"/>
        </w:rPr>
        <w:t>частного жилого дома</w:t>
      </w:r>
      <w:r w:rsidRPr="00BA64A8">
        <w:rPr>
          <w:rFonts w:ascii="Times New Roman" w:hAnsi="Times New Roman" w:cs="Times New Roman"/>
          <w:b/>
          <w:sz w:val="21"/>
          <w:szCs w:val="21"/>
        </w:rPr>
        <w:t xml:space="preserve"> (один из документов на выбор заявителя):</w:t>
      </w:r>
    </w:p>
    <w:p w:rsidR="00DC432F" w:rsidRDefault="00DC432F" w:rsidP="005F0C5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Независимая оценка состояния отчуждаемого (приобретаемого) частного жилого дома с указанием процента износа, произведенная не более 6 месяцев назад;</w:t>
      </w:r>
    </w:p>
    <w:p w:rsidR="00DC432F" w:rsidRDefault="00533200" w:rsidP="005F0C5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Справка, выданная бюро технической инвентаризации (далее – БТИ) о состоянии здания (объекте недвижимости) на дату, близкую к дате подаче заявления, с указанием процента износа жилого помещения</w:t>
      </w:r>
      <w:r w:rsidR="00187435">
        <w:rPr>
          <w:rFonts w:ascii="Times New Roman" w:hAnsi="Times New Roman" w:cs="Times New Roman"/>
          <w:sz w:val="21"/>
          <w:szCs w:val="21"/>
        </w:rPr>
        <w:t>, не более 6 месяцев назад</w:t>
      </w:r>
      <w:r>
        <w:rPr>
          <w:rFonts w:ascii="Times New Roman" w:hAnsi="Times New Roman" w:cs="Times New Roman"/>
          <w:sz w:val="21"/>
          <w:szCs w:val="21"/>
        </w:rPr>
        <w:t>;</w:t>
      </w:r>
    </w:p>
    <w:p w:rsidR="00533200" w:rsidRDefault="00533200" w:rsidP="005F0C52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Выписка из технического паспорта БТИ</w:t>
      </w:r>
      <w:r w:rsidR="00187435">
        <w:rPr>
          <w:rFonts w:ascii="Times New Roman" w:hAnsi="Times New Roman" w:cs="Times New Roman"/>
          <w:sz w:val="21"/>
          <w:szCs w:val="21"/>
        </w:rPr>
        <w:t>, не более 6 месяцев назад</w:t>
      </w:r>
      <w:r>
        <w:rPr>
          <w:rFonts w:ascii="Times New Roman" w:hAnsi="Times New Roman" w:cs="Times New Roman"/>
          <w:sz w:val="21"/>
          <w:szCs w:val="21"/>
        </w:rPr>
        <w:t>.</w:t>
      </w:r>
    </w:p>
    <w:p w:rsidR="00533200" w:rsidRDefault="00533200" w:rsidP="005F0C5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Свидетельство о расторжении брака (при разделе жилого помещения и разъезде бывших супругов);</w:t>
      </w:r>
    </w:p>
    <w:p w:rsidR="00533200" w:rsidRDefault="00533200" w:rsidP="005F0C5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Свидетельство о праве на получение социальной выплаты на приобретение (строительство) жилья, государственный сертификат на материнский (семейный) капитал (при приобретении квартиры с использованием обозначенных средств;</w:t>
      </w:r>
    </w:p>
    <w:p w:rsidR="00533200" w:rsidRPr="00BA64A8" w:rsidRDefault="00AC6952" w:rsidP="005F0C5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A64A8">
        <w:rPr>
          <w:rFonts w:ascii="Times New Roman" w:hAnsi="Times New Roman" w:cs="Times New Roman"/>
          <w:b/>
          <w:sz w:val="21"/>
          <w:szCs w:val="21"/>
        </w:rPr>
        <w:t>Документ, подтверждающий изменение фамилии: свидетельство браке, свидетельства о расторжении брака, свидетельства о перемене имени (при разных фамилиях родителей и детей);</w:t>
      </w:r>
    </w:p>
    <w:p w:rsidR="00AC6952" w:rsidRDefault="00AC6952" w:rsidP="005F0C5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Извещение о согласии банка на выдачу кредитных средств с указанием адреса приобретаемой квартиры;</w:t>
      </w:r>
    </w:p>
    <w:p w:rsidR="00AC6952" w:rsidRDefault="00AC6952" w:rsidP="005F0C5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187435">
        <w:rPr>
          <w:rFonts w:ascii="Times New Roman" w:hAnsi="Times New Roman" w:cs="Times New Roman"/>
          <w:sz w:val="21"/>
          <w:szCs w:val="21"/>
        </w:rPr>
        <w:t xml:space="preserve">Договор </w:t>
      </w:r>
      <w:r>
        <w:rPr>
          <w:rFonts w:ascii="Times New Roman" w:hAnsi="Times New Roman" w:cs="Times New Roman"/>
          <w:sz w:val="21"/>
          <w:szCs w:val="21"/>
        </w:rPr>
        <w:t>открытия лицевых счетов в банковском учреждении на имя несовершеннолетнего (в случае отчуждения жилого помещения при условии последующего приобретения жилого помещения</w:t>
      </w:r>
      <w:r w:rsidR="00BA64A8">
        <w:rPr>
          <w:rFonts w:ascii="Times New Roman" w:hAnsi="Times New Roman" w:cs="Times New Roman"/>
          <w:sz w:val="21"/>
          <w:szCs w:val="21"/>
        </w:rPr>
        <w:t>)</w:t>
      </w:r>
      <w:r>
        <w:rPr>
          <w:rFonts w:ascii="Times New Roman" w:hAnsi="Times New Roman" w:cs="Times New Roman"/>
          <w:sz w:val="21"/>
          <w:szCs w:val="21"/>
        </w:rPr>
        <w:t>;</w:t>
      </w:r>
    </w:p>
    <w:p w:rsidR="00AC6952" w:rsidRDefault="00AC6952" w:rsidP="005F0C5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Договор о долевом участи в строительстве жилья, об участии в жилищно-строительном кооперативе, уступки права требования, инвестирования (при отчуждения в случае заключения долевого участия в строительстве жилья, об участии в жилищно-строительном кооперативе уступки права требования, инвестирования);</w:t>
      </w:r>
    </w:p>
    <w:p w:rsidR="00AC6952" w:rsidRPr="00187435" w:rsidRDefault="00AC6952" w:rsidP="005F0C5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87435">
        <w:rPr>
          <w:rFonts w:ascii="Times New Roman" w:hAnsi="Times New Roman" w:cs="Times New Roman"/>
          <w:b/>
          <w:sz w:val="21"/>
          <w:szCs w:val="21"/>
        </w:rPr>
        <w:t>Правоустанавливающие документы на ранее приобретенное семьей жилое помещение (при отчуждении жилого помещения в случае ранее приобретенного семьей жилого помещения, не более одного года назад);</w:t>
      </w:r>
    </w:p>
    <w:p w:rsidR="00AC6952" w:rsidRPr="00BA64A8" w:rsidRDefault="00AC6952" w:rsidP="005F0C5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A64A8">
        <w:rPr>
          <w:rFonts w:ascii="Times New Roman" w:hAnsi="Times New Roman" w:cs="Times New Roman"/>
          <w:b/>
          <w:sz w:val="21"/>
          <w:szCs w:val="21"/>
        </w:rPr>
        <w:t>Договор дарения (при отчуждении жилого помещения в случае одновременного (последующего) дарения несовершеннолетнему другого жилого помещения.</w:t>
      </w:r>
    </w:p>
    <w:p w:rsidR="00AC6952" w:rsidRDefault="00AC6952" w:rsidP="005F0C5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Справка о рождении формы №2, выданная органом записи актов гражданского состояния;</w:t>
      </w:r>
    </w:p>
    <w:p w:rsidR="00AC6952" w:rsidRPr="00533200" w:rsidRDefault="00AC6952" w:rsidP="005F0C5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Документ, подтверждающий полномочия законного представителя несовершеннолетнего, оставшегося без п</w:t>
      </w:r>
      <w:r w:rsidR="005F0C52">
        <w:rPr>
          <w:rFonts w:ascii="Times New Roman" w:hAnsi="Times New Roman" w:cs="Times New Roman"/>
          <w:sz w:val="21"/>
          <w:szCs w:val="21"/>
        </w:rPr>
        <w:t>опечения родителей: правовой акт</w:t>
      </w:r>
      <w:r>
        <w:rPr>
          <w:rFonts w:ascii="Times New Roman" w:hAnsi="Times New Roman" w:cs="Times New Roman"/>
          <w:sz w:val="21"/>
          <w:szCs w:val="21"/>
        </w:rPr>
        <w:t xml:space="preserve"> об установлении опеки или направлении в учреждение для детей-сирот и детей, оставшихся без попечения родителей.</w:t>
      </w:r>
    </w:p>
    <w:p w:rsidR="007A2F7E" w:rsidRPr="000B567C" w:rsidRDefault="00E93346" w:rsidP="004D6D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C6512E" w:rsidRPr="00330076" w:rsidRDefault="00C6512E" w:rsidP="000B5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30076">
        <w:rPr>
          <w:rFonts w:ascii="Times New Roman" w:hAnsi="Times New Roman" w:cs="Times New Roman"/>
          <w:b/>
          <w:sz w:val="21"/>
          <w:szCs w:val="21"/>
        </w:rPr>
        <w:t xml:space="preserve"> Документы, представляемые заявителем   должны быть читаемыми (выполнены ясно, разборчиво), не должны содержать исправлений, подчисток, разводов, затемнений, зачеркнутых слов и иных дефектов копирования, а также серьезных повреждений, наличие которых не позволяет однозначно истолковать их содержание. </w:t>
      </w:r>
    </w:p>
    <w:p w:rsidR="0064483C" w:rsidRPr="00ED2EBB" w:rsidRDefault="00C6512E" w:rsidP="000B567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A83B30">
        <w:rPr>
          <w:rFonts w:ascii="Times New Roman" w:hAnsi="Times New Roman" w:cs="Times New Roman"/>
          <w:b/>
          <w:sz w:val="21"/>
          <w:szCs w:val="21"/>
          <w:u w:val="single"/>
        </w:rPr>
        <w:t>Копии документов, необходимых для предоставления государственной услуги, представляются в орган опеки и попечительства вместе с подлинниками</w:t>
      </w:r>
      <w:r w:rsidRPr="00ED2EBB">
        <w:rPr>
          <w:rFonts w:ascii="Times New Roman" w:hAnsi="Times New Roman" w:cs="Times New Roman"/>
          <w:sz w:val="21"/>
          <w:szCs w:val="21"/>
        </w:rPr>
        <w:t>. Специалисты   органа опе</w:t>
      </w:r>
      <w:r w:rsidR="00A83B30">
        <w:rPr>
          <w:rFonts w:ascii="Times New Roman" w:hAnsi="Times New Roman" w:cs="Times New Roman"/>
          <w:sz w:val="21"/>
          <w:szCs w:val="21"/>
        </w:rPr>
        <w:t xml:space="preserve">ки и попечительства </w:t>
      </w:r>
      <w:r w:rsidRPr="00ED2EBB">
        <w:rPr>
          <w:rFonts w:ascii="Times New Roman" w:hAnsi="Times New Roman" w:cs="Times New Roman"/>
          <w:sz w:val="21"/>
          <w:szCs w:val="21"/>
        </w:rPr>
        <w:t>сверяют представленные копии документов с подлинниками. После сверки документов подлинники возвращаются заявителю.</w:t>
      </w:r>
    </w:p>
    <w:p w:rsidR="0016504A" w:rsidRPr="000B567C" w:rsidRDefault="0016504A" w:rsidP="0016504A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0B567C">
        <w:rPr>
          <w:rFonts w:ascii="Times New Roman" w:hAnsi="Times New Roman" w:cs="Times New Roman"/>
          <w:b/>
          <w:sz w:val="21"/>
          <w:szCs w:val="21"/>
        </w:rPr>
        <w:t>Документы принимают:</w:t>
      </w:r>
    </w:p>
    <w:p w:rsidR="0016504A" w:rsidRPr="000B567C" w:rsidRDefault="0016504A" w:rsidP="0016504A">
      <w:pPr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B567C">
        <w:rPr>
          <w:rFonts w:ascii="Times New Roman" w:hAnsi="Times New Roman" w:cs="Times New Roman"/>
          <w:b/>
          <w:sz w:val="21"/>
          <w:szCs w:val="21"/>
        </w:rPr>
        <w:t xml:space="preserve">- ООиП Юргинского муниципального района г. Юрга, ул. Машиностроителей, </w:t>
      </w:r>
      <w:r w:rsidR="00330076">
        <w:rPr>
          <w:rFonts w:ascii="Times New Roman" w:hAnsi="Times New Roman" w:cs="Times New Roman"/>
          <w:b/>
          <w:sz w:val="21"/>
          <w:szCs w:val="21"/>
        </w:rPr>
        <w:t>д.</w:t>
      </w:r>
      <w:r w:rsidRPr="000B567C">
        <w:rPr>
          <w:rFonts w:ascii="Times New Roman" w:hAnsi="Times New Roman" w:cs="Times New Roman"/>
          <w:b/>
          <w:sz w:val="21"/>
          <w:szCs w:val="21"/>
        </w:rPr>
        <w:t>37, каб.104</w:t>
      </w:r>
    </w:p>
    <w:p w:rsidR="0016504A" w:rsidRPr="00ED2EBB" w:rsidRDefault="0016504A" w:rsidP="0016504A">
      <w:pPr>
        <w:spacing w:after="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B567C">
        <w:rPr>
          <w:rFonts w:ascii="Times New Roman" w:hAnsi="Times New Roman" w:cs="Times New Roman"/>
          <w:b/>
          <w:sz w:val="21"/>
          <w:szCs w:val="21"/>
        </w:rPr>
        <w:t>тел. 8(38451)4-04-12; время приёма: с 8-00 до 17-00 (с 12-00 до 13-00 перерыв) вт, чт, пт.</w:t>
      </w:r>
      <w:r w:rsidR="00ED2EBB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ED2EBB" w:rsidRPr="00ED2EBB">
        <w:rPr>
          <w:rFonts w:ascii="Times New Roman" w:hAnsi="Times New Roman" w:cs="Times New Roman"/>
          <w:b/>
          <w:sz w:val="21"/>
          <w:szCs w:val="21"/>
          <w:u w:val="single"/>
        </w:rPr>
        <w:t>По предварительной записи</w:t>
      </w:r>
    </w:p>
    <w:sectPr w:rsidR="0016504A" w:rsidRPr="00ED2EBB" w:rsidSect="007A2F7E">
      <w:headerReference w:type="even" r:id="rId7"/>
      <w:headerReference w:type="default" r:id="rId8"/>
      <w:pgSz w:w="11906" w:h="16838"/>
      <w:pgMar w:top="284" w:right="851" w:bottom="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543" w:rsidRDefault="00281543" w:rsidP="00A12E17">
      <w:pPr>
        <w:spacing w:after="0" w:line="240" w:lineRule="auto"/>
      </w:pPr>
      <w:r>
        <w:separator/>
      </w:r>
    </w:p>
  </w:endnote>
  <w:endnote w:type="continuationSeparator" w:id="1">
    <w:p w:rsidR="00281543" w:rsidRDefault="00281543" w:rsidP="00A1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543" w:rsidRDefault="00281543" w:rsidP="00A12E17">
      <w:pPr>
        <w:spacing w:after="0" w:line="240" w:lineRule="auto"/>
      </w:pPr>
      <w:r>
        <w:separator/>
      </w:r>
    </w:p>
  </w:footnote>
  <w:footnote w:type="continuationSeparator" w:id="1">
    <w:p w:rsidR="00281543" w:rsidRDefault="00281543" w:rsidP="00A1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6B" w:rsidRDefault="007A1979" w:rsidP="00CE1B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483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706B" w:rsidRDefault="002815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06B" w:rsidRDefault="007A1979" w:rsidP="00CE1B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483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7435">
      <w:rPr>
        <w:rStyle w:val="a5"/>
        <w:noProof/>
      </w:rPr>
      <w:t>2</w:t>
    </w:r>
    <w:r>
      <w:rPr>
        <w:rStyle w:val="a5"/>
      </w:rPr>
      <w:fldChar w:fldCharType="end"/>
    </w:r>
  </w:p>
  <w:p w:rsidR="0098706B" w:rsidRDefault="00281543">
    <w:pPr>
      <w:pStyle w:val="a3"/>
      <w:jc w:val="center"/>
    </w:pPr>
  </w:p>
  <w:p w:rsidR="0098706B" w:rsidRDefault="002815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C4F20"/>
    <w:multiLevelType w:val="multilevel"/>
    <w:tmpl w:val="EB8C1D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D75"/>
    <w:rsid w:val="0006344F"/>
    <w:rsid w:val="000B567C"/>
    <w:rsid w:val="0016504A"/>
    <w:rsid w:val="00173191"/>
    <w:rsid w:val="00187435"/>
    <w:rsid w:val="00187A87"/>
    <w:rsid w:val="001D2B50"/>
    <w:rsid w:val="00250535"/>
    <w:rsid w:val="00281543"/>
    <w:rsid w:val="002B5F26"/>
    <w:rsid w:val="002F26CB"/>
    <w:rsid w:val="0030068E"/>
    <w:rsid w:val="00330076"/>
    <w:rsid w:val="00346C38"/>
    <w:rsid w:val="00376190"/>
    <w:rsid w:val="003928CE"/>
    <w:rsid w:val="003E7461"/>
    <w:rsid w:val="004D6D75"/>
    <w:rsid w:val="004F6591"/>
    <w:rsid w:val="0050467E"/>
    <w:rsid w:val="00533200"/>
    <w:rsid w:val="005600A3"/>
    <w:rsid w:val="005D0F81"/>
    <w:rsid w:val="005F0C52"/>
    <w:rsid w:val="0064483C"/>
    <w:rsid w:val="00681427"/>
    <w:rsid w:val="006C7187"/>
    <w:rsid w:val="00780269"/>
    <w:rsid w:val="007A1979"/>
    <w:rsid w:val="007A2F7E"/>
    <w:rsid w:val="007B26AF"/>
    <w:rsid w:val="008808D9"/>
    <w:rsid w:val="008D20B7"/>
    <w:rsid w:val="008D3B02"/>
    <w:rsid w:val="00906174"/>
    <w:rsid w:val="00923783"/>
    <w:rsid w:val="009341C5"/>
    <w:rsid w:val="00955982"/>
    <w:rsid w:val="00957041"/>
    <w:rsid w:val="00987501"/>
    <w:rsid w:val="009D7CAC"/>
    <w:rsid w:val="00A12E17"/>
    <w:rsid w:val="00A83B30"/>
    <w:rsid w:val="00AC6952"/>
    <w:rsid w:val="00AE0102"/>
    <w:rsid w:val="00BA64A8"/>
    <w:rsid w:val="00BD76D0"/>
    <w:rsid w:val="00C6512E"/>
    <w:rsid w:val="00C7016D"/>
    <w:rsid w:val="00C838CC"/>
    <w:rsid w:val="00C8760E"/>
    <w:rsid w:val="00CD0CE8"/>
    <w:rsid w:val="00CF51AD"/>
    <w:rsid w:val="00D2407A"/>
    <w:rsid w:val="00D7666F"/>
    <w:rsid w:val="00DC432F"/>
    <w:rsid w:val="00E35534"/>
    <w:rsid w:val="00E93346"/>
    <w:rsid w:val="00EA409D"/>
    <w:rsid w:val="00ED2EBB"/>
    <w:rsid w:val="00F336C4"/>
    <w:rsid w:val="00FB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6D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D6D7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D6D75"/>
  </w:style>
  <w:style w:type="paragraph" w:customStyle="1" w:styleId="ConsPlusTitle">
    <w:name w:val="ConsPlusTitle"/>
    <w:rsid w:val="002B5F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7A2F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2021-12-29T01:59:00Z</cp:lastPrinted>
  <dcterms:created xsi:type="dcterms:W3CDTF">2019-06-19T08:42:00Z</dcterms:created>
  <dcterms:modified xsi:type="dcterms:W3CDTF">2021-12-29T02:01:00Z</dcterms:modified>
</cp:coreProperties>
</file>